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D9" w:rsidRDefault="00A46264"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JAS</w:t>
      </w:r>
      <w:r w:rsidR="004A556E">
        <w:rPr>
          <w:rStyle w:val="slug-vol"/>
          <w:rFonts w:ascii="inherit" w:hAnsi="inherit" w:cs="Arial" w:hint="eastAsia"/>
          <w:color w:val="333300"/>
          <w:sz w:val="18"/>
          <w:szCs w:val="18"/>
          <w:bdr w:val="none" w:sz="0" w:space="0" w:color="auto" w:frame="1"/>
          <w:shd w:val="clear" w:color="auto" w:fill="FFFFFF"/>
        </w:rPr>
        <w:t>2015</w:t>
      </w:r>
      <w:r>
        <w:rPr>
          <w:rStyle w:val="slug-vol"/>
          <w:rFonts w:ascii="inherit" w:hAnsi="inherit" w:cs="Arial" w:hint="eastAsia"/>
          <w:color w:val="333300"/>
          <w:sz w:val="18"/>
          <w:szCs w:val="18"/>
          <w:bdr w:val="none" w:sz="0" w:space="0" w:color="auto" w:frame="1"/>
          <w:shd w:val="clear" w:color="auto" w:fill="FFFFFF"/>
        </w:rPr>
        <w:t xml:space="preserve"> </w:t>
      </w:r>
      <w:r w:rsidR="00C97F3E" w:rsidRPr="00C97F3E">
        <w:rPr>
          <w:rStyle w:val="slug-vol"/>
          <w:rFonts w:ascii="inherit" w:hAnsi="inherit" w:cs="Arial"/>
          <w:color w:val="333300"/>
          <w:sz w:val="18"/>
          <w:szCs w:val="18"/>
          <w:bdr w:val="none" w:sz="0" w:space="0" w:color="auto" w:frame="1"/>
          <w:shd w:val="clear" w:color="auto" w:fill="FFFFFF"/>
        </w:rPr>
        <w:t>Vol. 93 No. 4, p. 1666-1678</w:t>
      </w:r>
    </w:p>
    <w:p w:rsidR="00465DB5" w:rsidRDefault="00465DB5"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预测猪胴体背脂、腹脂、额骨脂肪碘值的模型</w:t>
      </w:r>
    </w:p>
    <w:p w:rsidR="00A46CD9" w:rsidRPr="00465DB5" w:rsidRDefault="00465DB5" w:rsidP="00A46CD9">
      <w:pPr>
        <w:rPr>
          <w:rStyle w:val="slug-vol"/>
          <w:rFonts w:ascii="inherit" w:hAnsi="inherit" w:cs="Arial" w:hint="eastAsia"/>
          <w:color w:val="333300"/>
          <w:sz w:val="18"/>
          <w:szCs w:val="18"/>
          <w:bdr w:val="none" w:sz="0" w:space="0" w:color="auto" w:frame="1"/>
          <w:shd w:val="clear" w:color="auto" w:fill="FFFFFF"/>
        </w:rPr>
      </w:pPr>
      <w:r w:rsidRPr="00465DB5">
        <w:rPr>
          <w:rStyle w:val="slug-vol"/>
          <w:rFonts w:ascii="inherit" w:hAnsi="inherit" w:cs="Arial"/>
          <w:color w:val="333300"/>
          <w:sz w:val="18"/>
          <w:szCs w:val="18"/>
          <w:bdr w:val="none" w:sz="0" w:space="0" w:color="auto" w:frame="1"/>
          <w:shd w:val="clear" w:color="auto" w:fill="FFFFFF"/>
        </w:rPr>
        <w:t>C. B. Paulk, J. R. Bergstrom, M. D. Tokach, S. S. Dritz, D. D. Burnett, E. W. Stephenson, M. A. Vaughn, J. M. DeRouchey,</w:t>
      </w:r>
      <w:r>
        <w:rPr>
          <w:rStyle w:val="slug-vol"/>
          <w:rFonts w:ascii="inherit" w:hAnsi="inherit" w:cs="Arial"/>
          <w:color w:val="333300"/>
          <w:sz w:val="18"/>
          <w:szCs w:val="18"/>
          <w:bdr w:val="none" w:sz="0" w:space="0" w:color="auto" w:frame="1"/>
          <w:shd w:val="clear" w:color="auto" w:fill="FFFFFF"/>
        </w:rPr>
        <w:t xml:space="preserve"> R. D. Goodband, J. L. Nelssen and J. M. Gonzalez</w:t>
      </w:r>
    </w:p>
    <w:p w:rsidR="00E41B34" w:rsidRDefault="00E41B34" w:rsidP="00A46CD9">
      <w:pPr>
        <w:rPr>
          <w:rStyle w:val="slug-vol"/>
          <w:rFonts w:ascii="inherit" w:hAnsi="inherit" w:cs="Arial" w:hint="eastAsia"/>
          <w:color w:val="333300"/>
          <w:sz w:val="18"/>
          <w:szCs w:val="18"/>
          <w:bdr w:val="none" w:sz="0" w:space="0" w:color="auto" w:frame="1"/>
          <w:shd w:val="clear" w:color="auto" w:fill="FFFFFF"/>
        </w:rPr>
      </w:pPr>
      <w:r>
        <w:rPr>
          <w:rStyle w:val="slug-vol"/>
          <w:rFonts w:ascii="inherit" w:hAnsi="inherit" w:cs="Arial" w:hint="eastAsia"/>
          <w:color w:val="333300"/>
          <w:sz w:val="18"/>
          <w:szCs w:val="18"/>
          <w:bdr w:val="none" w:sz="0" w:space="0" w:color="auto" w:frame="1"/>
          <w:shd w:val="clear" w:color="auto" w:fill="FFFFFF"/>
        </w:rPr>
        <w:t>原文链接：</w:t>
      </w:r>
      <w:hyperlink r:id="rId7" w:history="1">
        <w:r w:rsidR="00465DB5" w:rsidRPr="009970E2">
          <w:rPr>
            <w:rStyle w:val="a8"/>
            <w:rFonts w:ascii="inherit" w:hAnsi="inherit" w:cs="Arial"/>
            <w:sz w:val="18"/>
            <w:szCs w:val="18"/>
            <w:bdr w:val="none" w:sz="0" w:space="0" w:color="auto" w:frame="1"/>
            <w:shd w:val="clear" w:color="auto" w:fill="FFFFFF"/>
          </w:rPr>
          <w:t>https://www.animalsciencepublications.org/publications/jas/abstracts/93/4/1666</w:t>
        </w:r>
      </w:hyperlink>
    </w:p>
    <w:p w:rsidR="00B37720" w:rsidRPr="00A46264" w:rsidRDefault="00465DB5" w:rsidP="00B37720">
      <w:r>
        <w:rPr>
          <w:rStyle w:val="slug-vol"/>
          <w:rFonts w:ascii="inherit" w:hAnsi="inherit" w:cs="Arial" w:hint="eastAsia"/>
          <w:color w:val="333300"/>
          <w:sz w:val="18"/>
          <w:szCs w:val="18"/>
          <w:bdr w:val="none" w:sz="0" w:space="0" w:color="auto" w:frame="1"/>
          <w:shd w:val="clear" w:color="auto" w:fill="FFFFFF"/>
        </w:rPr>
        <w:t>本研究收集已发表的资料建立猪胴体背脂、腹脂和额骨脂肪碘值的模型，并通过试验来评估这些模型的有效性。最终的数据库包括与背脂相关的</w:t>
      </w:r>
      <w:r>
        <w:rPr>
          <w:rStyle w:val="slug-vol"/>
          <w:rFonts w:ascii="inherit" w:hAnsi="inherit" w:cs="Arial" w:hint="eastAsia"/>
          <w:color w:val="333300"/>
          <w:sz w:val="18"/>
          <w:szCs w:val="18"/>
          <w:bdr w:val="none" w:sz="0" w:space="0" w:color="auto" w:frame="1"/>
          <w:shd w:val="clear" w:color="auto" w:fill="FFFFFF"/>
        </w:rPr>
        <w:t>24</w:t>
      </w:r>
      <w:r>
        <w:rPr>
          <w:rStyle w:val="slug-vol"/>
          <w:rFonts w:ascii="inherit" w:hAnsi="inherit" w:cs="Arial" w:hint="eastAsia"/>
          <w:color w:val="333300"/>
          <w:sz w:val="18"/>
          <w:szCs w:val="18"/>
          <w:bdr w:val="none" w:sz="0" w:space="0" w:color="auto" w:frame="1"/>
          <w:shd w:val="clear" w:color="auto" w:fill="FFFFFF"/>
        </w:rPr>
        <w:t>篇、腹脂相关</w:t>
      </w:r>
      <w:r>
        <w:rPr>
          <w:rStyle w:val="slug-vol"/>
          <w:rFonts w:ascii="inherit" w:hAnsi="inherit" w:cs="Arial" w:hint="eastAsia"/>
          <w:color w:val="333300"/>
          <w:sz w:val="18"/>
          <w:szCs w:val="18"/>
          <w:bdr w:val="none" w:sz="0" w:space="0" w:color="auto" w:frame="1"/>
          <w:shd w:val="clear" w:color="auto" w:fill="FFFFFF"/>
        </w:rPr>
        <w:t>21</w:t>
      </w:r>
      <w:r>
        <w:rPr>
          <w:rStyle w:val="slug-vol"/>
          <w:rFonts w:ascii="inherit" w:hAnsi="inherit" w:cs="Arial" w:hint="eastAsia"/>
          <w:color w:val="333300"/>
          <w:sz w:val="18"/>
          <w:szCs w:val="18"/>
          <w:bdr w:val="none" w:sz="0" w:space="0" w:color="auto" w:frame="1"/>
          <w:shd w:val="clear" w:color="auto" w:fill="FFFFFF"/>
        </w:rPr>
        <w:t>篇、额骨脂肪相关的</w:t>
      </w:r>
      <w:r>
        <w:rPr>
          <w:rStyle w:val="slug-vol"/>
          <w:rFonts w:ascii="inherit" w:hAnsi="inherit" w:cs="Arial" w:hint="eastAsia"/>
          <w:color w:val="333300"/>
          <w:sz w:val="18"/>
          <w:szCs w:val="18"/>
          <w:bdr w:val="none" w:sz="0" w:space="0" w:color="auto" w:frame="1"/>
          <w:shd w:val="clear" w:color="auto" w:fill="FFFFFF"/>
        </w:rPr>
        <w:t>29</w:t>
      </w:r>
      <w:r>
        <w:rPr>
          <w:rStyle w:val="slug-vol"/>
          <w:rFonts w:ascii="inherit" w:hAnsi="inherit" w:cs="Arial" w:hint="eastAsia"/>
          <w:color w:val="333300"/>
          <w:sz w:val="18"/>
          <w:szCs w:val="18"/>
          <w:bdr w:val="none" w:sz="0" w:space="0" w:color="auto" w:frame="1"/>
          <w:shd w:val="clear" w:color="auto" w:fill="FFFFFF"/>
        </w:rPr>
        <w:t>篇。在日粮脂肪酸组成有变化的试验中，试验处理开始前的日粮为初始日粮（</w:t>
      </w:r>
      <w:r>
        <w:rPr>
          <w:rStyle w:val="slug-vol"/>
          <w:rFonts w:ascii="inherit" w:hAnsi="inherit" w:cs="Arial" w:hint="eastAsia"/>
          <w:color w:val="333300"/>
          <w:sz w:val="18"/>
          <w:szCs w:val="18"/>
          <w:bdr w:val="none" w:sz="0" w:space="0" w:color="auto" w:frame="1"/>
          <w:shd w:val="clear" w:color="auto" w:fill="FFFFFF"/>
        </w:rPr>
        <w:t>INT</w:t>
      </w:r>
      <w:r>
        <w:rPr>
          <w:rStyle w:val="slug-vol"/>
          <w:rFonts w:ascii="inherit" w:hAnsi="inherit" w:cs="Arial" w:hint="eastAsia"/>
          <w:color w:val="333300"/>
          <w:sz w:val="18"/>
          <w:szCs w:val="18"/>
          <w:bdr w:val="none" w:sz="0" w:space="0" w:color="auto" w:frame="1"/>
          <w:shd w:val="clear" w:color="auto" w:fill="FFFFFF"/>
        </w:rPr>
        <w:t>），试验处理开始后的为处理日粮（</w:t>
      </w:r>
      <w:r>
        <w:rPr>
          <w:rStyle w:val="slug-vol"/>
          <w:rFonts w:ascii="inherit" w:hAnsi="inherit" w:cs="Arial" w:hint="eastAsia"/>
          <w:color w:val="333300"/>
          <w:sz w:val="18"/>
          <w:szCs w:val="18"/>
          <w:bdr w:val="none" w:sz="0" w:space="0" w:color="auto" w:frame="1"/>
          <w:shd w:val="clear" w:color="auto" w:fill="FFFFFF"/>
        </w:rPr>
        <w:t>FIN</w:t>
      </w:r>
      <w:r>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将预测模型的影响因子分为五组：</w:t>
      </w:r>
      <w:r w:rsidR="00B37720">
        <w:rPr>
          <w:rStyle w:val="slug-vol"/>
          <w:rFonts w:ascii="inherit" w:hAnsi="inherit" w:cs="Arial" w:hint="eastAsia"/>
          <w:color w:val="333300"/>
          <w:sz w:val="18"/>
          <w:szCs w:val="18"/>
          <w:bdr w:val="none" w:sz="0" w:space="0" w:color="auto" w:frame="1"/>
          <w:shd w:val="clear" w:color="auto" w:fill="FFFFFF"/>
        </w:rPr>
        <w:t>1</w:t>
      </w:r>
      <w:r w:rsidR="00B37720">
        <w:rPr>
          <w:rStyle w:val="slug-vol"/>
          <w:rFonts w:ascii="inherit" w:hAnsi="inherit" w:cs="Arial" w:hint="eastAsia"/>
          <w:color w:val="333300"/>
          <w:sz w:val="18"/>
          <w:szCs w:val="18"/>
          <w:bdr w:val="none" w:sz="0" w:space="0" w:color="auto" w:frame="1"/>
          <w:shd w:val="clear" w:color="auto" w:fill="FFFFFF"/>
        </w:rPr>
        <w:t>）日粮脂肪酸组成，初始日粮和处理日粮的</w:t>
      </w:r>
      <w:r w:rsidR="00B37720" w:rsidRPr="00465DB5">
        <w:rPr>
          <w:rStyle w:val="slug-vol"/>
          <w:rFonts w:ascii="inherit" w:hAnsi="inherit" w:cs="Arial"/>
          <w:color w:val="333300"/>
          <w:sz w:val="18"/>
          <w:szCs w:val="18"/>
          <w:bdr w:val="none" w:sz="0" w:space="0" w:color="auto" w:frame="1"/>
          <w:shd w:val="clear" w:color="auto" w:fill="FFFFFF"/>
        </w:rPr>
        <w:t>C16:1</w:t>
      </w:r>
      <w:r w:rsidR="00B37720">
        <w:rPr>
          <w:rStyle w:val="slug-vol"/>
          <w:rFonts w:ascii="inherit" w:hAnsi="inherit" w:cs="Arial" w:hint="eastAsia"/>
          <w:color w:val="333300"/>
          <w:sz w:val="18"/>
          <w:szCs w:val="18"/>
          <w:bdr w:val="none" w:sz="0" w:space="0" w:color="auto" w:frame="1"/>
          <w:shd w:val="clear" w:color="auto" w:fill="FFFFFF"/>
        </w:rPr>
        <w:t>、</w:t>
      </w:r>
      <w:r w:rsidR="00B37720" w:rsidRPr="00465DB5">
        <w:rPr>
          <w:rStyle w:val="slug-vol"/>
          <w:rFonts w:ascii="inherit" w:hAnsi="inherit" w:cs="Arial"/>
          <w:color w:val="333300"/>
          <w:sz w:val="18"/>
          <w:szCs w:val="18"/>
          <w:bdr w:val="none" w:sz="0" w:space="0" w:color="auto" w:frame="1"/>
          <w:shd w:val="clear" w:color="auto" w:fill="FFFFFF"/>
        </w:rPr>
        <w:t>C18:1</w:t>
      </w:r>
      <w:r w:rsidR="00B37720">
        <w:rPr>
          <w:rStyle w:val="slug-vol"/>
          <w:rFonts w:ascii="inherit" w:hAnsi="inherit" w:cs="Arial" w:hint="eastAsia"/>
          <w:color w:val="333300"/>
          <w:sz w:val="18"/>
          <w:szCs w:val="18"/>
          <w:bdr w:val="none" w:sz="0" w:space="0" w:color="auto" w:frame="1"/>
          <w:shd w:val="clear" w:color="auto" w:fill="FFFFFF"/>
        </w:rPr>
        <w:t>、</w:t>
      </w:r>
      <w:r w:rsidR="00B37720" w:rsidRPr="00465DB5">
        <w:rPr>
          <w:rStyle w:val="slug-vol"/>
          <w:rFonts w:ascii="inherit" w:hAnsi="inherit" w:cs="Arial"/>
          <w:color w:val="333300"/>
          <w:sz w:val="18"/>
          <w:szCs w:val="18"/>
          <w:bdr w:val="none" w:sz="0" w:space="0" w:color="auto" w:frame="1"/>
          <w:shd w:val="clear" w:color="auto" w:fill="FFFFFF"/>
        </w:rPr>
        <w:t>C18:2</w:t>
      </w:r>
      <w:r w:rsidR="00B37720">
        <w:rPr>
          <w:rStyle w:val="slug-vol"/>
          <w:rFonts w:ascii="inherit" w:hAnsi="inherit" w:cs="Arial" w:hint="eastAsia"/>
          <w:color w:val="333300"/>
          <w:sz w:val="18"/>
          <w:szCs w:val="18"/>
          <w:bdr w:val="none" w:sz="0" w:space="0" w:color="auto" w:frame="1"/>
          <w:shd w:val="clear" w:color="auto" w:fill="FFFFFF"/>
        </w:rPr>
        <w:t>、</w:t>
      </w:r>
      <w:r w:rsidR="00B37720" w:rsidRPr="00465DB5">
        <w:rPr>
          <w:rStyle w:val="slug-vol"/>
          <w:rFonts w:ascii="inherit" w:hAnsi="inherit" w:cs="Arial"/>
          <w:color w:val="333300"/>
          <w:sz w:val="18"/>
          <w:szCs w:val="18"/>
          <w:bdr w:val="none" w:sz="0" w:space="0" w:color="auto" w:frame="1"/>
          <w:shd w:val="clear" w:color="auto" w:fill="FFFFFF"/>
        </w:rPr>
        <w:t>C18:3</w:t>
      </w:r>
      <w:r w:rsidR="00B37720">
        <w:rPr>
          <w:rStyle w:val="slug-vol"/>
          <w:rFonts w:ascii="inherit" w:hAnsi="inherit" w:cs="Arial" w:hint="eastAsia"/>
          <w:color w:val="333300"/>
          <w:sz w:val="18"/>
          <w:szCs w:val="18"/>
          <w:bdr w:val="none" w:sz="0" w:space="0" w:color="auto" w:frame="1"/>
          <w:shd w:val="clear" w:color="auto" w:fill="FFFFFF"/>
        </w:rPr>
        <w:t>、必需脂肪酸</w:t>
      </w:r>
      <w:r w:rsidR="008E7351">
        <w:rPr>
          <w:rStyle w:val="slug-vol"/>
          <w:rFonts w:ascii="inherit" w:hAnsi="inherit" w:cs="Arial" w:hint="eastAsia"/>
          <w:color w:val="333300"/>
          <w:sz w:val="18"/>
          <w:szCs w:val="18"/>
          <w:bdr w:val="none" w:sz="0" w:space="0" w:color="auto" w:frame="1"/>
          <w:shd w:val="clear" w:color="auto" w:fill="FFFFFF"/>
        </w:rPr>
        <w:t>（</w:t>
      </w:r>
      <w:r w:rsidR="008E7351">
        <w:rPr>
          <w:rStyle w:val="slug-vol"/>
          <w:rFonts w:ascii="inherit" w:hAnsi="inherit" w:cs="Arial" w:hint="eastAsia"/>
          <w:color w:val="333300"/>
          <w:sz w:val="18"/>
          <w:szCs w:val="18"/>
          <w:bdr w:val="none" w:sz="0" w:space="0" w:color="auto" w:frame="1"/>
          <w:shd w:val="clear" w:color="auto" w:fill="FFFFFF"/>
        </w:rPr>
        <w:t>EFA</w:t>
      </w:r>
      <w:r w:rsidR="008E7351">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、不饱和脂肪酸的含量、日粮碘值</w:t>
      </w:r>
      <w:r w:rsidR="008E7351">
        <w:rPr>
          <w:rStyle w:val="slug-vol"/>
          <w:rFonts w:ascii="inherit" w:hAnsi="inherit" w:cs="Arial" w:hint="eastAsia"/>
          <w:color w:val="333300"/>
          <w:sz w:val="18"/>
          <w:szCs w:val="18"/>
          <w:bdr w:val="none" w:sz="0" w:space="0" w:color="auto" w:frame="1"/>
          <w:shd w:val="clear" w:color="auto" w:fill="FFFFFF"/>
        </w:rPr>
        <w:t>（</w:t>
      </w:r>
      <w:r w:rsidR="008E7351">
        <w:rPr>
          <w:rStyle w:val="slug-vol"/>
          <w:rFonts w:ascii="inherit" w:hAnsi="inherit" w:cs="Arial" w:hint="eastAsia"/>
          <w:color w:val="333300"/>
          <w:sz w:val="18"/>
          <w:szCs w:val="18"/>
          <w:bdr w:val="none" w:sz="0" w:space="0" w:color="auto" w:frame="1"/>
          <w:shd w:val="clear" w:color="auto" w:fill="FFFFFF"/>
        </w:rPr>
        <w:t>IV</w:t>
      </w:r>
      <w:r w:rsidR="008E7351">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2</w:t>
      </w:r>
      <w:r w:rsidR="00B37720">
        <w:rPr>
          <w:rStyle w:val="slug-vol"/>
          <w:rFonts w:ascii="inherit" w:hAnsi="inherit" w:cs="Arial" w:hint="eastAsia"/>
          <w:color w:val="333300"/>
          <w:sz w:val="18"/>
          <w:szCs w:val="18"/>
          <w:bdr w:val="none" w:sz="0" w:space="0" w:color="auto" w:frame="1"/>
          <w:shd w:val="clear" w:color="auto" w:fill="FFFFFF"/>
        </w:rPr>
        <w:t>）饲喂初始日粮和处理日粮的天数；</w:t>
      </w:r>
      <w:r w:rsidR="00B37720">
        <w:rPr>
          <w:rStyle w:val="slug-vol"/>
          <w:rFonts w:ascii="inherit" w:hAnsi="inherit" w:cs="Arial" w:hint="eastAsia"/>
          <w:color w:val="333300"/>
          <w:sz w:val="18"/>
          <w:szCs w:val="18"/>
          <w:bdr w:val="none" w:sz="0" w:space="0" w:color="auto" w:frame="1"/>
          <w:shd w:val="clear" w:color="auto" w:fill="FFFFFF"/>
        </w:rPr>
        <w:t>3</w:t>
      </w:r>
      <w:r w:rsidR="00B37720">
        <w:rPr>
          <w:rStyle w:val="slug-vol"/>
          <w:rFonts w:ascii="inherit" w:hAnsi="inherit" w:cs="Arial" w:hint="eastAsia"/>
          <w:color w:val="333300"/>
          <w:sz w:val="18"/>
          <w:szCs w:val="18"/>
          <w:bdr w:val="none" w:sz="0" w:space="0" w:color="auto" w:frame="1"/>
          <w:shd w:val="clear" w:color="auto" w:fill="FFFFFF"/>
        </w:rPr>
        <w:t>）初始日粮和处理日粮的</w:t>
      </w:r>
      <w:r w:rsidR="00B37720">
        <w:rPr>
          <w:rStyle w:val="slug-vol"/>
          <w:rFonts w:ascii="inherit" w:hAnsi="inherit" w:cs="Arial" w:hint="eastAsia"/>
          <w:color w:val="333300"/>
          <w:sz w:val="18"/>
          <w:szCs w:val="18"/>
          <w:bdr w:val="none" w:sz="0" w:space="0" w:color="auto" w:frame="1"/>
          <w:shd w:val="clear" w:color="auto" w:fill="FFFFFF"/>
        </w:rPr>
        <w:t>ME</w:t>
      </w:r>
      <w:r w:rsidR="00B37720">
        <w:rPr>
          <w:rStyle w:val="slug-vol"/>
          <w:rFonts w:ascii="inherit" w:hAnsi="inherit" w:cs="Arial" w:hint="eastAsia"/>
          <w:color w:val="333300"/>
          <w:sz w:val="18"/>
          <w:szCs w:val="18"/>
          <w:bdr w:val="none" w:sz="0" w:space="0" w:color="auto" w:frame="1"/>
          <w:shd w:val="clear" w:color="auto" w:fill="FFFFFF"/>
        </w:rPr>
        <w:t>或</w:t>
      </w:r>
      <w:r w:rsidR="00B37720">
        <w:rPr>
          <w:rStyle w:val="slug-vol"/>
          <w:rFonts w:ascii="inherit" w:hAnsi="inherit" w:cs="Arial" w:hint="eastAsia"/>
          <w:color w:val="333300"/>
          <w:sz w:val="18"/>
          <w:szCs w:val="18"/>
          <w:bdr w:val="none" w:sz="0" w:space="0" w:color="auto" w:frame="1"/>
          <w:shd w:val="clear" w:color="auto" w:fill="FFFFFF"/>
        </w:rPr>
        <w:t>NE</w:t>
      </w:r>
      <w:r w:rsidR="00B37720">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4</w:t>
      </w:r>
      <w:r w:rsidR="00B37720">
        <w:rPr>
          <w:rStyle w:val="slug-vol"/>
          <w:rFonts w:ascii="inherit" w:hAnsi="inherit" w:cs="Arial" w:hint="eastAsia"/>
          <w:color w:val="333300"/>
          <w:sz w:val="18"/>
          <w:szCs w:val="18"/>
          <w:bdr w:val="none" w:sz="0" w:space="0" w:color="auto" w:frame="1"/>
          <w:shd w:val="clear" w:color="auto" w:fill="FFFFFF"/>
        </w:rPr>
        <w:t>）生长性能，初重、末重、</w:t>
      </w:r>
      <w:r w:rsidR="00B37720">
        <w:rPr>
          <w:rStyle w:val="slug-vol"/>
          <w:rFonts w:ascii="inherit" w:hAnsi="inherit" w:cs="Arial" w:hint="eastAsia"/>
          <w:color w:val="333300"/>
          <w:sz w:val="18"/>
          <w:szCs w:val="18"/>
          <w:bdr w:val="none" w:sz="0" w:space="0" w:color="auto" w:frame="1"/>
          <w:shd w:val="clear" w:color="auto" w:fill="FFFFFF"/>
        </w:rPr>
        <w:t>ADG</w:t>
      </w:r>
      <w:r w:rsidR="00B37720">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ADFI</w:t>
      </w:r>
      <w:r w:rsidR="00B37720">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G:F</w:t>
      </w:r>
      <w:r w:rsidR="00B37720">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5</w:t>
      </w:r>
      <w:r w:rsidR="00B37720">
        <w:rPr>
          <w:rStyle w:val="slug-vol"/>
          <w:rFonts w:ascii="inherit" w:hAnsi="inherit" w:cs="Arial" w:hint="eastAsia"/>
          <w:color w:val="333300"/>
          <w:sz w:val="18"/>
          <w:szCs w:val="18"/>
          <w:bdr w:val="none" w:sz="0" w:space="0" w:color="auto" w:frame="1"/>
          <w:shd w:val="clear" w:color="auto" w:fill="FFFFFF"/>
        </w:rPr>
        <w:t>）胴体指标：热胴体重</w:t>
      </w:r>
      <w:r w:rsidR="008E7351">
        <w:rPr>
          <w:rStyle w:val="slug-vol"/>
          <w:rFonts w:ascii="inherit" w:hAnsi="inherit" w:cs="Arial" w:hint="eastAsia"/>
          <w:color w:val="333300"/>
          <w:sz w:val="18"/>
          <w:szCs w:val="18"/>
          <w:bdr w:val="none" w:sz="0" w:space="0" w:color="auto" w:frame="1"/>
          <w:shd w:val="clear" w:color="auto" w:fill="FFFFFF"/>
        </w:rPr>
        <w:t>（</w:t>
      </w:r>
      <w:r w:rsidR="008E7351">
        <w:rPr>
          <w:rStyle w:val="slug-vol"/>
          <w:rFonts w:ascii="inherit" w:hAnsi="inherit" w:cs="Arial" w:hint="eastAsia"/>
          <w:color w:val="333300"/>
          <w:sz w:val="18"/>
          <w:szCs w:val="18"/>
          <w:bdr w:val="none" w:sz="0" w:space="0" w:color="auto" w:frame="1"/>
          <w:shd w:val="clear" w:color="auto" w:fill="FFFFFF"/>
        </w:rPr>
        <w:t>HCW</w:t>
      </w:r>
      <w:r w:rsidR="008E7351">
        <w:rPr>
          <w:rStyle w:val="slug-vol"/>
          <w:rFonts w:ascii="inherit" w:hAnsi="inherit" w:cs="Arial" w:hint="eastAsia"/>
          <w:color w:val="333300"/>
          <w:sz w:val="18"/>
          <w:szCs w:val="18"/>
          <w:bdr w:val="none" w:sz="0" w:space="0" w:color="auto" w:frame="1"/>
          <w:shd w:val="clear" w:color="auto" w:fill="FFFFFF"/>
        </w:rPr>
        <w:t>）</w:t>
      </w:r>
      <w:r w:rsidR="00B37720">
        <w:rPr>
          <w:rStyle w:val="slug-vol"/>
          <w:rFonts w:ascii="inherit" w:hAnsi="inherit" w:cs="Arial" w:hint="eastAsia"/>
          <w:color w:val="333300"/>
          <w:sz w:val="18"/>
          <w:szCs w:val="18"/>
          <w:bdr w:val="none" w:sz="0" w:space="0" w:color="auto" w:frame="1"/>
          <w:shd w:val="clear" w:color="auto" w:fill="FFFFFF"/>
        </w:rPr>
        <w:t>和背脂厚。通过</w:t>
      </w:r>
      <w:r w:rsidR="00B37720">
        <w:rPr>
          <w:rStyle w:val="slug-vol"/>
          <w:rFonts w:ascii="inherit" w:hAnsi="inherit" w:cs="Arial" w:hint="eastAsia"/>
          <w:color w:val="333300"/>
          <w:sz w:val="18"/>
          <w:szCs w:val="18"/>
          <w:bdr w:val="none" w:sz="0" w:space="0" w:color="auto" w:frame="1"/>
          <w:shd w:val="clear" w:color="auto" w:fill="FFFFFF"/>
        </w:rPr>
        <w:t>SAS</w:t>
      </w:r>
      <w:r w:rsidR="00B37720">
        <w:rPr>
          <w:rStyle w:val="slug-vol"/>
          <w:rFonts w:ascii="inherit" w:hAnsi="inherit" w:cs="Arial" w:hint="eastAsia"/>
          <w:color w:val="333300"/>
          <w:sz w:val="18"/>
          <w:szCs w:val="18"/>
          <w:bdr w:val="none" w:sz="0" w:space="0" w:color="auto" w:frame="1"/>
          <w:shd w:val="clear" w:color="auto" w:fill="FFFFFF"/>
        </w:rPr>
        <w:t>的</w:t>
      </w:r>
      <w:r w:rsidR="00B37720">
        <w:rPr>
          <w:rStyle w:val="slug-vol"/>
          <w:rFonts w:ascii="inherit" w:hAnsi="inherit" w:cs="Arial" w:hint="eastAsia"/>
          <w:color w:val="333300"/>
          <w:sz w:val="18"/>
          <w:szCs w:val="18"/>
          <w:bdr w:val="none" w:sz="0" w:space="0" w:color="auto" w:frame="1"/>
          <w:shd w:val="clear" w:color="auto" w:fill="FFFFFF"/>
        </w:rPr>
        <w:t>PROC MIXED</w:t>
      </w:r>
      <w:r w:rsidR="00B37720">
        <w:rPr>
          <w:rStyle w:val="slug-vol"/>
          <w:rFonts w:ascii="inherit" w:hAnsi="inherit" w:cs="Arial" w:hint="eastAsia"/>
          <w:color w:val="333300"/>
          <w:sz w:val="18"/>
          <w:szCs w:val="18"/>
          <w:bdr w:val="none" w:sz="0" w:space="0" w:color="auto" w:frame="1"/>
          <w:shd w:val="clear" w:color="auto" w:fill="FFFFFF"/>
        </w:rPr>
        <w:t>程序建立回归方程。</w:t>
      </w:r>
      <w:r w:rsidR="00D6258A">
        <w:rPr>
          <w:rStyle w:val="slug-vol"/>
          <w:rFonts w:ascii="inherit" w:hAnsi="inherit" w:cs="Arial" w:hint="eastAsia"/>
          <w:color w:val="333300"/>
          <w:sz w:val="18"/>
          <w:szCs w:val="18"/>
          <w:bdr w:val="none" w:sz="0" w:space="0" w:color="auto" w:frame="1"/>
          <w:shd w:val="clear" w:color="auto" w:fill="FFFFFF"/>
        </w:rPr>
        <w:t>根据贝叶斯准则评估回归方程的有效性。</w:t>
      </w:r>
      <w:r w:rsidR="008E7351">
        <w:rPr>
          <w:rStyle w:val="slug-vol"/>
          <w:rFonts w:ascii="inherit" w:hAnsi="inherit" w:cs="Arial" w:hint="eastAsia"/>
          <w:color w:val="333300"/>
          <w:sz w:val="18"/>
          <w:szCs w:val="18"/>
          <w:bdr w:val="none" w:sz="0" w:space="0" w:color="auto" w:frame="1"/>
          <w:shd w:val="clear" w:color="auto" w:fill="FFFFFF"/>
        </w:rPr>
        <w:t>最佳的预测方程为：背脂</w:t>
      </w:r>
      <w:r w:rsidR="008E7351">
        <w:rPr>
          <w:rStyle w:val="slug-vol"/>
          <w:rFonts w:ascii="inherit" w:hAnsi="inherit" w:cs="Arial" w:hint="eastAsia"/>
          <w:color w:val="333300"/>
          <w:sz w:val="18"/>
          <w:szCs w:val="18"/>
          <w:bdr w:val="none" w:sz="0" w:space="0" w:color="auto" w:frame="1"/>
          <w:shd w:val="clear" w:color="auto" w:fill="FFFFFF"/>
        </w:rPr>
        <w:t>IV=</w:t>
      </w:r>
      <w:r w:rsidR="00B37720" w:rsidRPr="00465DB5">
        <w:rPr>
          <w:rStyle w:val="slug-vol"/>
          <w:rFonts w:ascii="inherit" w:hAnsi="inherit" w:cs="Arial"/>
          <w:color w:val="333300"/>
          <w:sz w:val="18"/>
          <w:szCs w:val="18"/>
          <w:bdr w:val="none" w:sz="0" w:space="0" w:color="auto" w:frame="1"/>
          <w:shd w:val="clear" w:color="auto" w:fill="FFFFFF"/>
        </w:rPr>
        <w:t xml:space="preserve"> 84.83 + (6.87 × INT EFA) – (3.90 × FIN EFA) – (0.12 × INT</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xml:space="preserve">) – (1.30 × FIN </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(0.11 × INT EFA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(0.048 × FIN EFA × INT</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(0.12 × FIN EFA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(0.0060 × FIN NE) + (0.0005 × FIN NE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xml:space="preserve">) – (0.26 × </w:t>
      </w:r>
      <w:r w:rsidR="008E7351">
        <w:rPr>
          <w:rStyle w:val="slug-vol"/>
          <w:rFonts w:ascii="inherit" w:hAnsi="inherit" w:cs="Arial" w:hint="eastAsia"/>
          <w:color w:val="333300"/>
          <w:sz w:val="18"/>
          <w:szCs w:val="18"/>
          <w:bdr w:val="none" w:sz="0" w:space="0" w:color="auto" w:frame="1"/>
          <w:shd w:val="clear" w:color="auto" w:fill="FFFFFF"/>
        </w:rPr>
        <w:t>背脂厚</w:t>
      </w:r>
      <w:r w:rsidR="00B37720" w:rsidRPr="00465DB5">
        <w:rPr>
          <w:rStyle w:val="slug-vol"/>
          <w:rFonts w:ascii="inherit" w:hAnsi="inherit" w:cs="Arial"/>
          <w:color w:val="333300"/>
          <w:sz w:val="18"/>
          <w:szCs w:val="18"/>
          <w:bdr w:val="none" w:sz="0" w:space="0" w:color="auto" w:frame="1"/>
          <w:shd w:val="clear" w:color="auto" w:fill="FFFFFF"/>
        </w:rPr>
        <w:t>)</w:t>
      </w:r>
      <w:r w:rsidR="008E7351">
        <w:rPr>
          <w:rStyle w:val="slug-vol"/>
          <w:rFonts w:ascii="inherit" w:hAnsi="inherit" w:cs="Arial" w:hint="eastAsia"/>
          <w:color w:val="333300"/>
          <w:sz w:val="18"/>
          <w:szCs w:val="18"/>
          <w:bdr w:val="none" w:sz="0" w:space="0" w:color="auto" w:frame="1"/>
          <w:shd w:val="clear" w:color="auto" w:fill="FFFFFF"/>
        </w:rPr>
        <w:t>；背脂</w:t>
      </w:r>
      <w:r w:rsidR="008E7351">
        <w:rPr>
          <w:rStyle w:val="slug-vol"/>
          <w:rFonts w:ascii="inherit" w:hAnsi="inherit" w:cs="Arial" w:hint="eastAsia"/>
          <w:color w:val="333300"/>
          <w:sz w:val="18"/>
          <w:szCs w:val="18"/>
          <w:bdr w:val="none" w:sz="0" w:space="0" w:color="auto" w:frame="1"/>
          <w:shd w:val="clear" w:color="auto" w:fill="FFFFFF"/>
        </w:rPr>
        <w:t>IV</w:t>
      </w:r>
      <w:r w:rsidR="00B37720" w:rsidRPr="00465DB5">
        <w:rPr>
          <w:rStyle w:val="slug-vol"/>
          <w:rFonts w:ascii="inherit" w:hAnsi="inherit" w:cs="Arial"/>
          <w:color w:val="333300"/>
          <w:sz w:val="18"/>
          <w:szCs w:val="18"/>
          <w:bdr w:val="none" w:sz="0" w:space="0" w:color="auto" w:frame="1"/>
          <w:shd w:val="clear" w:color="auto" w:fill="FFFFFF"/>
        </w:rPr>
        <w:t xml:space="preserve"> = 106.16 + (6.21 × INT EFA) – (1.50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(0.11 × INT EFA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(0.012 × INT NE) + (0.00069 × INT NE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(0.18 × HCW) – (0.25 ×</w:t>
      </w:r>
      <w:r w:rsidR="008E7351">
        <w:rPr>
          <w:rStyle w:val="slug-vol"/>
          <w:rFonts w:ascii="inherit" w:hAnsi="inherit" w:cs="Arial" w:hint="eastAsia"/>
          <w:color w:val="333300"/>
          <w:sz w:val="18"/>
          <w:szCs w:val="18"/>
          <w:bdr w:val="none" w:sz="0" w:space="0" w:color="auto" w:frame="1"/>
          <w:shd w:val="clear" w:color="auto" w:fill="FFFFFF"/>
        </w:rPr>
        <w:t>背脂厚</w:t>
      </w:r>
      <w:r w:rsidR="00B37720" w:rsidRPr="00465DB5">
        <w:rPr>
          <w:rStyle w:val="slug-vol"/>
          <w:rFonts w:ascii="inherit" w:hAnsi="inherit" w:cs="Arial"/>
          <w:color w:val="333300"/>
          <w:sz w:val="18"/>
          <w:szCs w:val="18"/>
          <w:bdr w:val="none" w:sz="0" w:space="0" w:color="auto" w:frame="1"/>
          <w:shd w:val="clear" w:color="auto" w:fill="FFFFFF"/>
        </w:rPr>
        <w:t>)</w:t>
      </w:r>
      <w:r w:rsidR="008E7351">
        <w:rPr>
          <w:rStyle w:val="slug-vol"/>
          <w:rFonts w:ascii="inherit" w:hAnsi="inherit" w:cs="Arial" w:hint="eastAsia"/>
          <w:color w:val="333300"/>
          <w:sz w:val="18"/>
          <w:szCs w:val="18"/>
          <w:bdr w:val="none" w:sz="0" w:space="0" w:color="auto" w:frame="1"/>
          <w:shd w:val="clear" w:color="auto" w:fill="FFFFFF"/>
        </w:rPr>
        <w:t>；额骨脂肪</w:t>
      </w:r>
      <w:r w:rsidR="00B37720" w:rsidRPr="00465DB5">
        <w:rPr>
          <w:rStyle w:val="slug-vol"/>
          <w:rFonts w:ascii="inherit" w:hAnsi="inherit" w:cs="Arial"/>
          <w:color w:val="333300"/>
          <w:sz w:val="18"/>
          <w:szCs w:val="18"/>
          <w:bdr w:val="none" w:sz="0" w:space="0" w:color="auto" w:frame="1"/>
          <w:shd w:val="clear" w:color="auto" w:fill="FFFFFF"/>
        </w:rPr>
        <w:t>IV = 85.50 + (1.08 × INT EFA) + (0.87 × FIN EFA) – (0.014 × INT</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(0.050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(0.038 × INT EFA × INT</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 (0.054 × FIN EFA × FIN</w:t>
      </w:r>
      <w:r w:rsidR="008E7351">
        <w:rPr>
          <w:rStyle w:val="slug-vol"/>
          <w:rFonts w:ascii="inherit" w:hAnsi="inherit" w:cs="Arial" w:hint="eastAsia"/>
          <w:color w:val="333300"/>
          <w:sz w:val="18"/>
          <w:szCs w:val="18"/>
          <w:bdr w:val="none" w:sz="0" w:space="0" w:color="auto" w:frame="1"/>
          <w:shd w:val="clear" w:color="auto" w:fill="FFFFFF"/>
        </w:rPr>
        <w:t>天数</w:t>
      </w:r>
      <w:r w:rsidR="00B37720" w:rsidRPr="00465DB5">
        <w:rPr>
          <w:rStyle w:val="slug-vol"/>
          <w:rFonts w:ascii="inherit" w:hAnsi="inherit" w:cs="Arial"/>
          <w:color w:val="333300"/>
          <w:sz w:val="18"/>
          <w:szCs w:val="18"/>
          <w:bdr w:val="none" w:sz="0" w:space="0" w:color="auto" w:frame="1"/>
          <w:shd w:val="clear" w:color="auto" w:fill="FFFFFF"/>
        </w:rPr>
        <w:t xml:space="preserve">) – (0.0066 × INT NE) + (0.071 × INT </w:t>
      </w:r>
      <w:r w:rsidR="00D6258A">
        <w:rPr>
          <w:rStyle w:val="slug-vol"/>
          <w:rFonts w:ascii="inherit" w:hAnsi="inherit" w:cs="Arial" w:hint="eastAsia"/>
          <w:color w:val="333300"/>
          <w:sz w:val="18"/>
          <w:szCs w:val="18"/>
          <w:bdr w:val="none" w:sz="0" w:space="0" w:color="auto" w:frame="1"/>
          <w:shd w:val="clear" w:color="auto" w:fill="FFFFFF"/>
        </w:rPr>
        <w:t>体重</w:t>
      </w:r>
      <w:r w:rsidR="00B37720" w:rsidRPr="00465DB5">
        <w:rPr>
          <w:rStyle w:val="slug-vol"/>
          <w:rFonts w:ascii="inherit" w:hAnsi="inherit" w:cs="Arial"/>
          <w:color w:val="333300"/>
          <w:sz w:val="18"/>
          <w:szCs w:val="18"/>
          <w:bdr w:val="none" w:sz="0" w:space="0" w:color="auto" w:frame="1"/>
          <w:shd w:val="clear" w:color="auto" w:fill="FFFFFF"/>
        </w:rPr>
        <w:t xml:space="preserve">) – (2.19 × </w:t>
      </w:r>
      <w:r w:rsidR="00D6258A">
        <w:rPr>
          <w:rStyle w:val="slug-vol"/>
          <w:rFonts w:ascii="inherit" w:hAnsi="inherit" w:cs="Arial" w:hint="eastAsia"/>
          <w:color w:val="333300"/>
          <w:sz w:val="18"/>
          <w:szCs w:val="18"/>
          <w:bdr w:val="none" w:sz="0" w:space="0" w:color="auto" w:frame="1"/>
          <w:shd w:val="clear" w:color="auto" w:fill="FFFFFF"/>
        </w:rPr>
        <w:t>日均采食量</w:t>
      </w:r>
      <w:r w:rsidR="00B37720" w:rsidRPr="00465DB5">
        <w:rPr>
          <w:rStyle w:val="slug-vol"/>
          <w:rFonts w:ascii="inherit" w:hAnsi="inherit" w:cs="Arial"/>
          <w:color w:val="333300"/>
          <w:sz w:val="18"/>
          <w:szCs w:val="18"/>
          <w:bdr w:val="none" w:sz="0" w:space="0" w:color="auto" w:frame="1"/>
          <w:shd w:val="clear" w:color="auto" w:fill="FFFFFF"/>
        </w:rPr>
        <w:t xml:space="preserve">) – (0.29 × </w:t>
      </w:r>
      <w:r w:rsidR="00D6258A">
        <w:rPr>
          <w:rStyle w:val="slug-vol"/>
          <w:rFonts w:ascii="inherit" w:hAnsi="inherit" w:cs="Arial" w:hint="eastAsia"/>
          <w:color w:val="333300"/>
          <w:sz w:val="18"/>
          <w:szCs w:val="18"/>
          <w:bdr w:val="none" w:sz="0" w:space="0" w:color="auto" w:frame="1"/>
          <w:shd w:val="clear" w:color="auto" w:fill="FFFFFF"/>
        </w:rPr>
        <w:t>背膘厚</w:t>
      </w:r>
      <w:r w:rsidR="00B37720" w:rsidRPr="00465DB5">
        <w:rPr>
          <w:rStyle w:val="slug-vol"/>
          <w:rFonts w:ascii="inherit" w:hAnsi="inherit" w:cs="Arial"/>
          <w:color w:val="333300"/>
          <w:sz w:val="18"/>
          <w:szCs w:val="18"/>
          <w:bdr w:val="none" w:sz="0" w:space="0" w:color="auto" w:frame="1"/>
          <w:shd w:val="clear" w:color="auto" w:fill="FFFFFF"/>
        </w:rPr>
        <w:t xml:space="preserve">). </w:t>
      </w:r>
      <w:r w:rsidR="00D6258A">
        <w:rPr>
          <w:rStyle w:val="slug-vol"/>
          <w:rFonts w:ascii="inherit" w:hAnsi="inherit" w:cs="Arial" w:hint="eastAsia"/>
          <w:color w:val="333300"/>
          <w:sz w:val="18"/>
          <w:szCs w:val="18"/>
          <w:bdr w:val="none" w:sz="0" w:space="0" w:color="auto" w:frame="1"/>
          <w:shd w:val="clear" w:color="auto" w:fill="FFFFFF"/>
        </w:rPr>
        <w:t>动物试验的处理包括一个玉米豆粕型（无油添加）对照组，和</w:t>
      </w:r>
      <w:r w:rsidR="00D6258A">
        <w:rPr>
          <w:rStyle w:val="slug-vol"/>
          <w:rFonts w:ascii="inherit" w:hAnsi="inherit" w:cs="Arial" w:hint="eastAsia"/>
          <w:color w:val="333300"/>
          <w:sz w:val="18"/>
          <w:szCs w:val="18"/>
          <w:bdr w:val="none" w:sz="0" w:space="0" w:color="auto" w:frame="1"/>
          <w:shd w:val="clear" w:color="auto" w:fill="FFFFFF"/>
        </w:rPr>
        <w:t>3</w:t>
      </w:r>
      <w:r w:rsidR="00D6258A">
        <w:rPr>
          <w:rStyle w:val="slug-vol"/>
          <w:rFonts w:ascii="inherit" w:hAnsi="inherit" w:cs="Arial" w:hint="eastAsia"/>
          <w:color w:val="333300"/>
          <w:sz w:val="18"/>
          <w:szCs w:val="18"/>
          <w:bdr w:val="none" w:sz="0" w:space="0" w:color="auto" w:frame="1"/>
          <w:shd w:val="clear" w:color="auto" w:fill="FFFFFF"/>
        </w:rPr>
        <w:t>（</w:t>
      </w:r>
      <w:r w:rsidR="00D6258A">
        <w:rPr>
          <w:rStyle w:val="slug-vol"/>
          <w:rFonts w:ascii="inherit" w:hAnsi="inherit" w:cs="Arial" w:hint="eastAsia"/>
          <w:color w:val="333300"/>
          <w:sz w:val="18"/>
          <w:szCs w:val="18"/>
          <w:bdr w:val="none" w:sz="0" w:space="0" w:color="auto" w:frame="1"/>
          <w:shd w:val="clear" w:color="auto" w:fill="FFFFFF"/>
        </w:rPr>
        <w:t>4%</w:t>
      </w:r>
      <w:r w:rsidR="00D6258A">
        <w:rPr>
          <w:rStyle w:val="slug-vol"/>
          <w:rFonts w:ascii="inherit" w:hAnsi="inherit" w:cs="Arial" w:hint="eastAsia"/>
          <w:color w:val="333300"/>
          <w:sz w:val="18"/>
          <w:szCs w:val="18"/>
          <w:bdr w:val="none" w:sz="0" w:space="0" w:color="auto" w:frame="1"/>
          <w:shd w:val="clear" w:color="auto" w:fill="FFFFFF"/>
        </w:rPr>
        <w:t>的牛油、</w:t>
      </w:r>
      <w:r w:rsidR="00D6258A">
        <w:rPr>
          <w:rStyle w:val="slug-vol"/>
          <w:rFonts w:ascii="inherit" w:hAnsi="inherit" w:cs="Arial" w:hint="eastAsia"/>
          <w:color w:val="333300"/>
          <w:sz w:val="18"/>
          <w:szCs w:val="18"/>
          <w:bdr w:val="none" w:sz="0" w:space="0" w:color="auto" w:frame="1"/>
          <w:shd w:val="clear" w:color="auto" w:fill="FFFFFF"/>
        </w:rPr>
        <w:t>4%</w:t>
      </w:r>
      <w:r w:rsidR="00D6258A">
        <w:rPr>
          <w:rStyle w:val="slug-vol"/>
          <w:rFonts w:ascii="inherit" w:hAnsi="inherit" w:cs="Arial" w:hint="eastAsia"/>
          <w:color w:val="333300"/>
          <w:sz w:val="18"/>
          <w:szCs w:val="18"/>
          <w:bdr w:val="none" w:sz="0" w:space="0" w:color="auto" w:frame="1"/>
          <w:shd w:val="clear" w:color="auto" w:fill="FFFFFF"/>
        </w:rPr>
        <w:t>豆油、</w:t>
      </w:r>
      <w:r w:rsidR="00D6258A">
        <w:rPr>
          <w:rStyle w:val="slug-vol"/>
          <w:rFonts w:ascii="inherit" w:hAnsi="inherit" w:cs="Arial" w:hint="eastAsia"/>
          <w:color w:val="333300"/>
          <w:sz w:val="18"/>
          <w:szCs w:val="18"/>
          <w:bdr w:val="none" w:sz="0" w:space="0" w:color="auto" w:frame="1"/>
          <w:shd w:val="clear" w:color="auto" w:fill="FFFFFF"/>
        </w:rPr>
        <w:t>2%</w:t>
      </w:r>
      <w:r w:rsidR="00D6258A">
        <w:rPr>
          <w:rStyle w:val="slug-vol"/>
          <w:rFonts w:ascii="inherit" w:hAnsi="inherit" w:cs="Arial" w:hint="eastAsia"/>
          <w:color w:val="333300"/>
          <w:sz w:val="18"/>
          <w:szCs w:val="18"/>
          <w:bdr w:val="none" w:sz="0" w:space="0" w:color="auto" w:frame="1"/>
          <w:shd w:val="clear" w:color="auto" w:fill="FFFFFF"/>
        </w:rPr>
        <w:t>牛油加</w:t>
      </w:r>
      <w:r w:rsidR="00D6258A">
        <w:rPr>
          <w:rStyle w:val="slug-vol"/>
          <w:rFonts w:ascii="inherit" w:hAnsi="inherit" w:cs="Arial" w:hint="eastAsia"/>
          <w:color w:val="333300"/>
          <w:sz w:val="18"/>
          <w:szCs w:val="18"/>
          <w:bdr w:val="none" w:sz="0" w:space="0" w:color="auto" w:frame="1"/>
          <w:shd w:val="clear" w:color="auto" w:fill="FFFFFF"/>
        </w:rPr>
        <w:t>2%</w:t>
      </w:r>
      <w:r w:rsidR="00D6258A">
        <w:rPr>
          <w:rStyle w:val="slug-vol"/>
          <w:rFonts w:ascii="inherit" w:hAnsi="inherit" w:cs="Arial" w:hint="eastAsia"/>
          <w:color w:val="333300"/>
          <w:sz w:val="18"/>
          <w:szCs w:val="18"/>
          <w:bdr w:val="none" w:sz="0" w:space="0" w:color="auto" w:frame="1"/>
          <w:shd w:val="clear" w:color="auto" w:fill="FFFFFF"/>
        </w:rPr>
        <w:t>豆油）×</w:t>
      </w:r>
      <w:r w:rsidR="00D6258A">
        <w:rPr>
          <w:rStyle w:val="slug-vol"/>
          <w:rFonts w:ascii="inherit" w:hAnsi="inherit" w:cs="Arial" w:hint="eastAsia"/>
          <w:color w:val="333300"/>
          <w:sz w:val="18"/>
          <w:szCs w:val="18"/>
          <w:bdr w:val="none" w:sz="0" w:space="0" w:color="auto" w:frame="1"/>
          <w:shd w:val="clear" w:color="auto" w:fill="FFFFFF"/>
        </w:rPr>
        <w:t>3</w:t>
      </w:r>
      <w:r w:rsidR="00D6258A">
        <w:rPr>
          <w:rStyle w:val="slug-vol"/>
          <w:rFonts w:ascii="inherit" w:hAnsi="inherit" w:cs="Arial" w:hint="eastAsia"/>
          <w:color w:val="333300"/>
          <w:sz w:val="18"/>
          <w:szCs w:val="18"/>
          <w:bdr w:val="none" w:sz="0" w:space="0" w:color="auto" w:frame="1"/>
          <w:shd w:val="clear" w:color="auto" w:fill="FFFFFF"/>
        </w:rPr>
        <w:t>（饲喂期</w:t>
      </w:r>
      <w:r w:rsidR="00D6258A">
        <w:rPr>
          <w:rStyle w:val="slug-vol"/>
          <w:rFonts w:ascii="inherit" w:hAnsi="inherit" w:cs="Arial" w:hint="eastAsia"/>
          <w:color w:val="333300"/>
          <w:sz w:val="18"/>
          <w:szCs w:val="18"/>
          <w:bdr w:val="none" w:sz="0" w:space="0" w:color="auto" w:frame="1"/>
          <w:shd w:val="clear" w:color="auto" w:fill="FFFFFF"/>
        </w:rPr>
        <w:t>0-42d</w:t>
      </w:r>
      <w:r w:rsidR="00D6258A">
        <w:rPr>
          <w:rStyle w:val="slug-vol"/>
          <w:rFonts w:ascii="inherit" w:hAnsi="inherit" w:cs="Arial" w:hint="eastAsia"/>
          <w:color w:val="333300"/>
          <w:sz w:val="18"/>
          <w:szCs w:val="18"/>
          <w:bdr w:val="none" w:sz="0" w:space="0" w:color="auto" w:frame="1"/>
          <w:shd w:val="clear" w:color="auto" w:fill="FFFFFF"/>
        </w:rPr>
        <w:t>、</w:t>
      </w:r>
      <w:r w:rsidR="00D6258A">
        <w:rPr>
          <w:rStyle w:val="slug-vol"/>
          <w:rFonts w:ascii="inherit" w:hAnsi="inherit" w:cs="Arial" w:hint="eastAsia"/>
          <w:color w:val="333300"/>
          <w:sz w:val="18"/>
          <w:szCs w:val="18"/>
          <w:bdr w:val="none" w:sz="0" w:space="0" w:color="auto" w:frame="1"/>
          <w:shd w:val="clear" w:color="auto" w:fill="FFFFFF"/>
        </w:rPr>
        <w:t>42-84d</w:t>
      </w:r>
      <w:r w:rsidR="00D6258A">
        <w:rPr>
          <w:rStyle w:val="slug-vol"/>
          <w:rFonts w:ascii="inherit" w:hAnsi="inherit" w:cs="Arial" w:hint="eastAsia"/>
          <w:color w:val="333300"/>
          <w:sz w:val="18"/>
          <w:szCs w:val="18"/>
          <w:bdr w:val="none" w:sz="0" w:space="0" w:color="auto" w:frame="1"/>
          <w:shd w:val="clear" w:color="auto" w:fill="FFFFFF"/>
        </w:rPr>
        <w:t>、</w:t>
      </w:r>
      <w:r w:rsidR="00D6258A">
        <w:rPr>
          <w:rStyle w:val="slug-vol"/>
          <w:rFonts w:ascii="inherit" w:hAnsi="inherit" w:cs="Arial" w:hint="eastAsia"/>
          <w:color w:val="333300"/>
          <w:sz w:val="18"/>
          <w:szCs w:val="18"/>
          <w:bdr w:val="none" w:sz="0" w:space="0" w:color="auto" w:frame="1"/>
          <w:shd w:val="clear" w:color="auto" w:fill="FFFFFF"/>
        </w:rPr>
        <w:t>0-84d</w:t>
      </w:r>
      <w:r w:rsidR="00D6258A">
        <w:rPr>
          <w:rStyle w:val="slug-vol"/>
          <w:rFonts w:ascii="inherit" w:hAnsi="inherit" w:cs="Arial" w:hint="eastAsia"/>
          <w:color w:val="333300"/>
          <w:sz w:val="18"/>
          <w:szCs w:val="18"/>
          <w:bdr w:val="none" w:sz="0" w:space="0" w:color="auto" w:frame="1"/>
          <w:shd w:val="clear" w:color="auto" w:fill="FFFFFF"/>
        </w:rPr>
        <w:t>）因子设计。在碘值低于</w:t>
      </w:r>
      <w:r w:rsidR="00D6258A">
        <w:rPr>
          <w:rStyle w:val="slug-vol"/>
          <w:rFonts w:ascii="inherit" w:hAnsi="inherit" w:cs="Arial" w:hint="eastAsia"/>
          <w:color w:val="333300"/>
          <w:sz w:val="18"/>
          <w:szCs w:val="18"/>
          <w:bdr w:val="none" w:sz="0" w:space="0" w:color="auto" w:frame="1"/>
          <w:shd w:val="clear" w:color="auto" w:fill="FFFFFF"/>
        </w:rPr>
        <w:t>65g/100g</w:t>
      </w:r>
      <w:r w:rsidR="00D6258A">
        <w:rPr>
          <w:rStyle w:val="slug-vol"/>
          <w:rFonts w:ascii="inherit" w:hAnsi="inherit" w:cs="Arial" w:hint="eastAsia"/>
          <w:color w:val="333300"/>
          <w:sz w:val="18"/>
          <w:szCs w:val="18"/>
          <w:bdr w:val="none" w:sz="0" w:space="0" w:color="auto" w:frame="1"/>
          <w:shd w:val="clear" w:color="auto" w:fill="FFFFFF"/>
        </w:rPr>
        <w:t>时，预测背脂、腹脂、额骨脂肪碘值较高。在实际碘值高于约</w:t>
      </w:r>
      <w:r w:rsidR="00D6258A">
        <w:rPr>
          <w:rStyle w:val="slug-vol"/>
          <w:rFonts w:ascii="inherit" w:hAnsi="inherit" w:cs="Arial" w:hint="eastAsia"/>
          <w:color w:val="333300"/>
          <w:sz w:val="18"/>
          <w:szCs w:val="18"/>
          <w:bdr w:val="none" w:sz="0" w:space="0" w:color="auto" w:frame="1"/>
          <w:shd w:val="clear" w:color="auto" w:fill="FFFFFF"/>
        </w:rPr>
        <w:t>74g/110g</w:t>
      </w:r>
      <w:r w:rsidR="00D6258A">
        <w:rPr>
          <w:rStyle w:val="slug-vol"/>
          <w:rFonts w:ascii="inherit" w:hAnsi="inherit" w:cs="Arial" w:hint="eastAsia"/>
          <w:color w:val="333300"/>
          <w:sz w:val="18"/>
          <w:szCs w:val="18"/>
          <w:bdr w:val="none" w:sz="0" w:space="0" w:color="auto" w:frame="1"/>
          <w:shd w:val="clear" w:color="auto" w:fill="FFFFFF"/>
        </w:rPr>
        <w:t>时，或混合油饲喂</w:t>
      </w:r>
      <w:r w:rsidR="00D6258A">
        <w:rPr>
          <w:rStyle w:val="slug-vol"/>
          <w:rFonts w:ascii="inherit" w:hAnsi="inherit" w:cs="Arial" w:hint="eastAsia"/>
          <w:color w:val="333300"/>
          <w:sz w:val="18"/>
          <w:szCs w:val="18"/>
          <w:bdr w:val="none" w:sz="0" w:space="0" w:color="auto" w:frame="1"/>
          <w:shd w:val="clear" w:color="auto" w:fill="FFFFFF"/>
        </w:rPr>
        <w:t>0-84d</w:t>
      </w:r>
      <w:r w:rsidR="00D6258A">
        <w:rPr>
          <w:rStyle w:val="slug-vol"/>
          <w:rFonts w:ascii="inherit" w:hAnsi="inherit" w:cs="Arial" w:hint="eastAsia"/>
          <w:color w:val="333300"/>
          <w:sz w:val="18"/>
          <w:szCs w:val="18"/>
          <w:bdr w:val="none" w:sz="0" w:space="0" w:color="auto" w:frame="1"/>
          <w:shd w:val="clear" w:color="auto" w:fill="FFFFFF"/>
        </w:rPr>
        <w:t>和</w:t>
      </w:r>
      <w:r w:rsidR="00D6258A">
        <w:rPr>
          <w:rStyle w:val="slug-vol"/>
          <w:rFonts w:ascii="inherit" w:hAnsi="inherit" w:cs="Arial" w:hint="eastAsia"/>
          <w:color w:val="333300"/>
          <w:sz w:val="18"/>
          <w:szCs w:val="18"/>
          <w:bdr w:val="none" w:sz="0" w:space="0" w:color="auto" w:frame="1"/>
          <w:shd w:val="clear" w:color="auto" w:fill="FFFFFF"/>
        </w:rPr>
        <w:t>42-84d</w:t>
      </w:r>
      <w:r w:rsidR="00D6258A">
        <w:rPr>
          <w:rStyle w:val="slug-vol"/>
          <w:rFonts w:ascii="inherit" w:hAnsi="inherit" w:cs="Arial" w:hint="eastAsia"/>
          <w:color w:val="333300"/>
          <w:sz w:val="18"/>
          <w:szCs w:val="18"/>
          <w:bdr w:val="none" w:sz="0" w:space="0" w:color="auto" w:frame="1"/>
          <w:shd w:val="clear" w:color="auto" w:fill="FFFFFF"/>
        </w:rPr>
        <w:t>时，低估了腹脂的碘值。总的来说</w:t>
      </w:r>
      <w:r w:rsidR="00C97F3E">
        <w:rPr>
          <w:rStyle w:val="slug-vol"/>
          <w:rFonts w:ascii="inherit" w:hAnsi="inherit" w:cs="Arial" w:hint="eastAsia"/>
          <w:color w:val="333300"/>
          <w:sz w:val="18"/>
          <w:szCs w:val="18"/>
          <w:bdr w:val="none" w:sz="0" w:space="0" w:color="auto" w:frame="1"/>
          <w:shd w:val="clear" w:color="auto" w:fill="FFFFFF"/>
        </w:rPr>
        <w:t>，除了如上所提示的例外，建立的模型能运用日粮和动物生长性能等指标准确的预测胴体脂肪指标。</w:t>
      </w:r>
    </w:p>
    <w:p w:rsidR="00B37720" w:rsidRPr="00B37720" w:rsidRDefault="00B37720" w:rsidP="00A46CD9">
      <w:pPr>
        <w:rPr>
          <w:rStyle w:val="slug-vol"/>
          <w:rFonts w:ascii="inherit" w:hAnsi="inherit" w:cs="Arial" w:hint="eastAsia"/>
          <w:color w:val="333300"/>
          <w:sz w:val="18"/>
          <w:szCs w:val="18"/>
          <w:bdr w:val="none" w:sz="0" w:space="0" w:color="auto" w:frame="1"/>
          <w:shd w:val="clear" w:color="auto" w:fill="FFFFFF"/>
        </w:rPr>
      </w:pPr>
    </w:p>
    <w:p w:rsidR="00465DB5" w:rsidRPr="00465DB5" w:rsidRDefault="00465DB5" w:rsidP="00465DB5">
      <w:pPr>
        <w:rPr>
          <w:rStyle w:val="slug-vol"/>
          <w:rFonts w:ascii="inherit" w:hAnsi="inherit" w:cs="Arial" w:hint="eastAsia"/>
          <w:color w:val="333300"/>
          <w:sz w:val="18"/>
          <w:szCs w:val="18"/>
          <w:bdr w:val="none" w:sz="0" w:space="0" w:color="auto" w:frame="1"/>
          <w:shd w:val="clear" w:color="auto" w:fill="FFFFFF"/>
        </w:rPr>
      </w:pPr>
      <w:r w:rsidRPr="00465DB5">
        <w:rPr>
          <w:rStyle w:val="slug-vol"/>
          <w:rFonts w:ascii="inherit" w:hAnsi="inherit" w:cs="Arial"/>
          <w:color w:val="333300"/>
          <w:sz w:val="18"/>
          <w:szCs w:val="18"/>
          <w:bdr w:val="none" w:sz="0" w:space="0" w:color="auto" w:frame="1"/>
          <w:shd w:val="clear" w:color="auto" w:fill="FFFFFF"/>
        </w:rPr>
        <w:t>Equations generated to predict iodine value of pork carcass back, belly, and jowl fat</w:t>
      </w:r>
    </w:p>
    <w:p w:rsidR="00465DB5" w:rsidRPr="00465DB5" w:rsidRDefault="00465DB5" w:rsidP="00465DB5">
      <w:pPr>
        <w:rPr>
          <w:rStyle w:val="slug-vol"/>
          <w:rFonts w:ascii="inherit" w:hAnsi="inherit" w:cs="Arial" w:hint="eastAsia"/>
          <w:color w:val="333300"/>
          <w:sz w:val="18"/>
          <w:szCs w:val="18"/>
          <w:bdr w:val="none" w:sz="0" w:space="0" w:color="auto" w:frame="1"/>
          <w:shd w:val="clear" w:color="auto" w:fill="FFFFFF"/>
        </w:rPr>
      </w:pPr>
      <w:r w:rsidRPr="00465DB5">
        <w:rPr>
          <w:rStyle w:val="slug-vol"/>
          <w:rFonts w:ascii="inherit" w:hAnsi="inherit" w:cs="Arial"/>
          <w:color w:val="333300"/>
          <w:sz w:val="18"/>
          <w:szCs w:val="18"/>
          <w:bdr w:val="none" w:sz="0" w:space="0" w:color="auto" w:frame="1"/>
          <w:shd w:val="clear" w:color="auto" w:fill="FFFFFF"/>
        </w:rPr>
        <w:t>C. B. Paulk, J. R. Bergstrom, M. D. Tokach, S. S. Dritz, D. D. Burnett, E. W. Stephenson, M. A. Vaughn, J. M. DeRouchey,</w:t>
      </w:r>
      <w:r>
        <w:rPr>
          <w:rStyle w:val="slug-vol"/>
          <w:rFonts w:ascii="inherit" w:hAnsi="inherit" w:cs="Arial"/>
          <w:color w:val="333300"/>
          <w:sz w:val="18"/>
          <w:szCs w:val="18"/>
          <w:bdr w:val="none" w:sz="0" w:space="0" w:color="auto" w:frame="1"/>
          <w:shd w:val="clear" w:color="auto" w:fill="FFFFFF"/>
        </w:rPr>
        <w:t xml:space="preserve"> R. D. Goodband, J. L. Nelssen and J. M. Gonzalez</w:t>
      </w:r>
    </w:p>
    <w:p w:rsidR="00A46264" w:rsidRPr="00A46264" w:rsidRDefault="00465DB5" w:rsidP="00465DB5">
      <w:r w:rsidRPr="00465DB5">
        <w:rPr>
          <w:rStyle w:val="slug-vol"/>
          <w:rFonts w:ascii="inherit" w:hAnsi="inherit" w:cs="Arial"/>
          <w:color w:val="333300"/>
          <w:sz w:val="18"/>
          <w:szCs w:val="18"/>
          <w:bdr w:val="none" w:sz="0" w:space="0" w:color="auto" w:frame="1"/>
          <w:shd w:val="clear" w:color="auto" w:fill="FFFFFF"/>
        </w:rPr>
        <w:t xml:space="preserve">Data from existing literature were used to generate equations to predict finishing pig back, belly, and jowl fat iodine values (IV) and an experiment was conducted to evaluate these equations. The final database included 24, 21, and 29 papers for back, belly, and jowl fat IV, respectively. For experiments that changed dietary fatty acid composition, initial (INT) diets were defined as those fed before the change in diet composition and final (FIN) diets were those fed after. The predictor variables tested were divided into 5 groups: 1) diet fat composition (dietary percent </w:t>
      </w:r>
      <w:bookmarkStart w:id="0" w:name="OLE_LINK1"/>
      <w:bookmarkStart w:id="1" w:name="OLE_LINK2"/>
      <w:r w:rsidRPr="00465DB5">
        <w:rPr>
          <w:rStyle w:val="slug-vol"/>
          <w:rFonts w:ascii="inherit" w:hAnsi="inherit" w:cs="Arial"/>
          <w:color w:val="333300"/>
          <w:sz w:val="18"/>
          <w:szCs w:val="18"/>
          <w:bdr w:val="none" w:sz="0" w:space="0" w:color="auto" w:frame="1"/>
          <w:shd w:val="clear" w:color="auto" w:fill="FFFFFF"/>
        </w:rPr>
        <w:t>C16:1, C18:1, C18:2, C18:3</w:t>
      </w:r>
      <w:bookmarkEnd w:id="0"/>
      <w:bookmarkEnd w:id="1"/>
      <w:r w:rsidRPr="00465DB5">
        <w:rPr>
          <w:rStyle w:val="slug-vol"/>
          <w:rFonts w:ascii="inherit" w:hAnsi="inherit" w:cs="Arial"/>
          <w:color w:val="333300"/>
          <w:sz w:val="18"/>
          <w:szCs w:val="18"/>
          <w:bdr w:val="none" w:sz="0" w:space="0" w:color="auto" w:frame="1"/>
          <w:shd w:val="clear" w:color="auto" w:fill="FFFFFF"/>
        </w:rPr>
        <w:t xml:space="preserve">, EFA, unsaturated fatty acids, and IV product) for both INT and FIN diets, 2) day feeding the INT and FIN diets, 3) ME or NE of the INT and FIN diet, 4) live performance criteria (initial BW, final BW, ADG, ADFI, and G:F), and 5) carcass criteria (HCW and backfat thickness). The PROC MIXED procedure of SAS (SAS Inst., Inc., Cary, NC) was used to develop regression equations. Evaluation of models with significant terms was then conducted based on the Bayesian information criterion. The optimum equations to predict back, belly, and jowl fat IV were backfat IV = 84.83 + (6.87 × INT EFA) – (3.90 × FIN EFA) – (0.12 × INT days) – (1.30 × FIN days) – (0.11 × INT EFA × FIN days) + (0.048 × FIN EFA × INT days) + (0.12 × FIN EFA × FIN days) – (0.0060 × FIN NE) + (0.0005 × FIN NE × FIN days) – (0.26 × backfat depth); belly fat IV = 106.16 + (6.21 × INT EFA) – (1.50 × FIN days) – (0.11 × INT EFA × FIN days) – (0.012 × INT NE) + (0.00069 × INT NE × FIN days) – (0.18 × HCW) – (0.25 × backfat depth); and jowl fat IV = 85.50 + (1.08 × INT EFA) + (0.87 × FIN EFA) – (0.014 × INT days) – (0.050 × FIN days) + (0.038 × INT EFA × INT days) + (0.054 × FIN EFA × FIN days) – (0.0066 × INT NE) + (0.071 × INT BW) – (2.19 × ADFI) – (0.29 × backfat depth). Dietary </w:t>
      </w:r>
      <w:r w:rsidRPr="00465DB5">
        <w:rPr>
          <w:rStyle w:val="slug-vol"/>
          <w:rFonts w:ascii="inherit" w:hAnsi="inherit" w:cs="Arial"/>
          <w:color w:val="333300"/>
          <w:sz w:val="18"/>
          <w:szCs w:val="18"/>
          <w:bdr w:val="none" w:sz="0" w:space="0" w:color="auto" w:frame="1"/>
          <w:shd w:val="clear" w:color="auto" w:fill="FFFFFF"/>
        </w:rPr>
        <w:lastRenderedPageBreak/>
        <w:t>treatments from the evaluation experiment consisted of a corn–soybean meal control diet with no added fat or a 3 × 3 factorial arrangement with main effects of fat source (4% tallow, 4% soybean oil, or a blend of 2% tallow and 2% soybean oil) and feeding duration (d 0 to 42, 42 to 84, or 0 to 84). The back, belly, and jowl fat IV equations tended to overestimate IV when observed IV were less than approximately 65 g/100 g and underestimate belly fat IV when actual IV are greater than approximately 74 g/100 g or when the fat blend was fed from d 0 to 84 or 42 to 84. Overall, with the exceptions noted, the regression equations were an accurate tool for predicting carcass fat quality based on dietary and pig performance factors.</w:t>
      </w:r>
    </w:p>
    <w:sectPr w:rsidR="00A46264" w:rsidRPr="00A46264" w:rsidSect="00F4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DBB" w:rsidRDefault="00037DBB" w:rsidP="008B6B03">
      <w:r>
        <w:separator/>
      </w:r>
    </w:p>
  </w:endnote>
  <w:endnote w:type="continuationSeparator" w:id="0">
    <w:p w:rsidR="00037DBB" w:rsidRDefault="00037DBB" w:rsidP="008B6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DBB" w:rsidRDefault="00037DBB" w:rsidP="008B6B03">
      <w:r>
        <w:separator/>
      </w:r>
    </w:p>
  </w:footnote>
  <w:footnote w:type="continuationSeparator" w:id="0">
    <w:p w:rsidR="00037DBB" w:rsidRDefault="00037DBB" w:rsidP="008B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6B1B"/>
    <w:multiLevelType w:val="multilevel"/>
    <w:tmpl w:val="C0E2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B03"/>
    <w:rsid w:val="00035EC4"/>
    <w:rsid w:val="00037DBB"/>
    <w:rsid w:val="000846E7"/>
    <w:rsid w:val="00094AEB"/>
    <w:rsid w:val="000A609C"/>
    <w:rsid w:val="001255EC"/>
    <w:rsid w:val="001832FC"/>
    <w:rsid w:val="001C3AA7"/>
    <w:rsid w:val="00225B6E"/>
    <w:rsid w:val="00241FD7"/>
    <w:rsid w:val="002952CC"/>
    <w:rsid w:val="002F068A"/>
    <w:rsid w:val="003C30C8"/>
    <w:rsid w:val="00465DB5"/>
    <w:rsid w:val="00466A35"/>
    <w:rsid w:val="004907C3"/>
    <w:rsid w:val="004A556E"/>
    <w:rsid w:val="005875BC"/>
    <w:rsid w:val="00630E82"/>
    <w:rsid w:val="007A619F"/>
    <w:rsid w:val="007D28B3"/>
    <w:rsid w:val="00803210"/>
    <w:rsid w:val="00831FDE"/>
    <w:rsid w:val="008B6B03"/>
    <w:rsid w:val="008E7351"/>
    <w:rsid w:val="00970ABE"/>
    <w:rsid w:val="009C3FF6"/>
    <w:rsid w:val="009D0531"/>
    <w:rsid w:val="00A0355B"/>
    <w:rsid w:val="00A42A74"/>
    <w:rsid w:val="00A46264"/>
    <w:rsid w:val="00A46CD9"/>
    <w:rsid w:val="00A870EA"/>
    <w:rsid w:val="00A979EF"/>
    <w:rsid w:val="00AA3CDD"/>
    <w:rsid w:val="00AC08EA"/>
    <w:rsid w:val="00B21FDA"/>
    <w:rsid w:val="00B37720"/>
    <w:rsid w:val="00B72ADE"/>
    <w:rsid w:val="00B76F34"/>
    <w:rsid w:val="00BA56FB"/>
    <w:rsid w:val="00BE05EB"/>
    <w:rsid w:val="00C05026"/>
    <w:rsid w:val="00C224EF"/>
    <w:rsid w:val="00C626D6"/>
    <w:rsid w:val="00C97F3E"/>
    <w:rsid w:val="00CB1101"/>
    <w:rsid w:val="00CE6976"/>
    <w:rsid w:val="00D03D85"/>
    <w:rsid w:val="00D6258A"/>
    <w:rsid w:val="00D96C12"/>
    <w:rsid w:val="00DA11F4"/>
    <w:rsid w:val="00DD3557"/>
    <w:rsid w:val="00DF2765"/>
    <w:rsid w:val="00E41B34"/>
    <w:rsid w:val="00E4512B"/>
    <w:rsid w:val="00E92C1B"/>
    <w:rsid w:val="00EE6E77"/>
    <w:rsid w:val="00F42C29"/>
    <w:rsid w:val="00F52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76"/>
    <w:pPr>
      <w:widowControl w:val="0"/>
      <w:jc w:val="both"/>
    </w:pPr>
  </w:style>
  <w:style w:type="paragraph" w:styleId="1">
    <w:name w:val="heading 1"/>
    <w:basedOn w:val="a"/>
    <w:link w:val="1Char"/>
    <w:uiPriority w:val="9"/>
    <w:qFormat/>
    <w:rsid w:val="00DF276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F27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B03"/>
    <w:rPr>
      <w:sz w:val="18"/>
      <w:szCs w:val="18"/>
    </w:rPr>
  </w:style>
  <w:style w:type="paragraph" w:styleId="a4">
    <w:name w:val="footer"/>
    <w:basedOn w:val="a"/>
    <w:link w:val="Char0"/>
    <w:uiPriority w:val="99"/>
    <w:semiHidden/>
    <w:unhideWhenUsed/>
    <w:rsid w:val="008B6B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6B03"/>
    <w:rPr>
      <w:sz w:val="18"/>
      <w:szCs w:val="18"/>
    </w:rPr>
  </w:style>
  <w:style w:type="character" w:customStyle="1" w:styleId="figurecaptiontitle">
    <w:name w:val="figure__caption__title"/>
    <w:basedOn w:val="a0"/>
    <w:rsid w:val="008B6B03"/>
  </w:style>
  <w:style w:type="character" w:customStyle="1" w:styleId="apple-converted-space">
    <w:name w:val="apple-converted-space"/>
    <w:basedOn w:val="a0"/>
    <w:rsid w:val="008B6B03"/>
  </w:style>
  <w:style w:type="character" w:customStyle="1" w:styleId="figurecaptioncredit">
    <w:name w:val="figure__caption__credit"/>
    <w:basedOn w:val="a0"/>
    <w:rsid w:val="008B6B03"/>
  </w:style>
  <w:style w:type="paragraph" w:styleId="a5">
    <w:name w:val="Normal (Web)"/>
    <w:basedOn w:val="a"/>
    <w:uiPriority w:val="99"/>
    <w:semiHidden/>
    <w:unhideWhenUsed/>
    <w:rsid w:val="008B6B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6B03"/>
    <w:rPr>
      <w:b/>
      <w:bCs/>
    </w:rPr>
  </w:style>
  <w:style w:type="paragraph" w:styleId="a7">
    <w:name w:val="Balloon Text"/>
    <w:basedOn w:val="a"/>
    <w:link w:val="Char1"/>
    <w:uiPriority w:val="99"/>
    <w:semiHidden/>
    <w:unhideWhenUsed/>
    <w:rsid w:val="008B6B03"/>
    <w:rPr>
      <w:sz w:val="18"/>
      <w:szCs w:val="18"/>
    </w:rPr>
  </w:style>
  <w:style w:type="character" w:customStyle="1" w:styleId="Char1">
    <w:name w:val="批注框文本 Char"/>
    <w:basedOn w:val="a0"/>
    <w:link w:val="a7"/>
    <w:uiPriority w:val="99"/>
    <w:semiHidden/>
    <w:rsid w:val="008B6B03"/>
    <w:rPr>
      <w:sz w:val="18"/>
      <w:szCs w:val="18"/>
    </w:rPr>
  </w:style>
  <w:style w:type="character" w:customStyle="1" w:styleId="1Char">
    <w:name w:val="标题 1 Char"/>
    <w:basedOn w:val="a0"/>
    <w:link w:val="1"/>
    <w:uiPriority w:val="9"/>
    <w:rsid w:val="00DF2765"/>
    <w:rPr>
      <w:rFonts w:ascii="宋体" w:eastAsia="宋体" w:hAnsi="宋体" w:cs="宋体"/>
      <w:b/>
      <w:bCs/>
      <w:kern w:val="36"/>
      <w:sz w:val="48"/>
      <w:szCs w:val="48"/>
    </w:rPr>
  </w:style>
  <w:style w:type="character" w:customStyle="1" w:styleId="2Char">
    <w:name w:val="标题 2 Char"/>
    <w:basedOn w:val="a0"/>
    <w:link w:val="2"/>
    <w:uiPriority w:val="9"/>
    <w:rsid w:val="00DF2765"/>
    <w:rPr>
      <w:rFonts w:ascii="宋体" w:eastAsia="宋体" w:hAnsi="宋体" w:cs="宋体"/>
      <w:b/>
      <w:bCs/>
      <w:kern w:val="0"/>
      <w:sz w:val="36"/>
      <w:szCs w:val="36"/>
    </w:rPr>
  </w:style>
  <w:style w:type="character" w:styleId="a8">
    <w:name w:val="Hyperlink"/>
    <w:basedOn w:val="a0"/>
    <w:uiPriority w:val="99"/>
    <w:unhideWhenUsed/>
    <w:rsid w:val="00DF2765"/>
    <w:rPr>
      <w:color w:val="0000FF"/>
      <w:u w:val="single"/>
    </w:rPr>
  </w:style>
  <w:style w:type="character" w:customStyle="1" w:styleId="name">
    <w:name w:val="name"/>
    <w:basedOn w:val="a0"/>
    <w:rsid w:val="00DF2765"/>
  </w:style>
  <w:style w:type="character" w:customStyle="1" w:styleId="sup">
    <w:name w:val="sup"/>
    <w:basedOn w:val="a0"/>
    <w:rsid w:val="00DF2765"/>
  </w:style>
  <w:style w:type="character" w:styleId="a9">
    <w:name w:val="Emphasis"/>
    <w:basedOn w:val="a0"/>
    <w:uiPriority w:val="20"/>
    <w:qFormat/>
    <w:rsid w:val="00DF2765"/>
    <w:rPr>
      <w:i/>
      <w:iCs/>
    </w:rPr>
  </w:style>
  <w:style w:type="character" w:customStyle="1" w:styleId="slug-vol">
    <w:name w:val="slug-vol"/>
    <w:basedOn w:val="a0"/>
    <w:rsid w:val="00CE6976"/>
  </w:style>
  <w:style w:type="character" w:customStyle="1" w:styleId="slug-issue">
    <w:name w:val="slug-issue"/>
    <w:basedOn w:val="a0"/>
    <w:rsid w:val="00CE6976"/>
  </w:style>
</w:styles>
</file>

<file path=word/webSettings.xml><?xml version="1.0" encoding="utf-8"?>
<w:webSettings xmlns:r="http://schemas.openxmlformats.org/officeDocument/2006/relationships" xmlns:w="http://schemas.openxmlformats.org/wordprocessingml/2006/main">
  <w:divs>
    <w:div w:id="110168045">
      <w:bodyDiv w:val="1"/>
      <w:marLeft w:val="0"/>
      <w:marRight w:val="0"/>
      <w:marTop w:val="0"/>
      <w:marBottom w:val="0"/>
      <w:divBdr>
        <w:top w:val="none" w:sz="0" w:space="0" w:color="auto"/>
        <w:left w:val="none" w:sz="0" w:space="0" w:color="auto"/>
        <w:bottom w:val="none" w:sz="0" w:space="0" w:color="auto"/>
        <w:right w:val="none" w:sz="0" w:space="0" w:color="auto"/>
      </w:divBdr>
    </w:div>
    <w:div w:id="183057361">
      <w:bodyDiv w:val="1"/>
      <w:marLeft w:val="0"/>
      <w:marRight w:val="0"/>
      <w:marTop w:val="0"/>
      <w:marBottom w:val="0"/>
      <w:divBdr>
        <w:top w:val="none" w:sz="0" w:space="0" w:color="auto"/>
        <w:left w:val="none" w:sz="0" w:space="0" w:color="auto"/>
        <w:bottom w:val="none" w:sz="0" w:space="0" w:color="auto"/>
        <w:right w:val="none" w:sz="0" w:space="0" w:color="auto"/>
      </w:divBdr>
    </w:div>
    <w:div w:id="187986379">
      <w:bodyDiv w:val="1"/>
      <w:marLeft w:val="0"/>
      <w:marRight w:val="0"/>
      <w:marTop w:val="0"/>
      <w:marBottom w:val="0"/>
      <w:divBdr>
        <w:top w:val="none" w:sz="0" w:space="0" w:color="auto"/>
        <w:left w:val="none" w:sz="0" w:space="0" w:color="auto"/>
        <w:bottom w:val="none" w:sz="0" w:space="0" w:color="auto"/>
        <w:right w:val="none" w:sz="0" w:space="0" w:color="auto"/>
      </w:divBdr>
      <w:divsChild>
        <w:div w:id="61683623">
          <w:marLeft w:val="0"/>
          <w:marRight w:val="0"/>
          <w:marTop w:val="0"/>
          <w:marBottom w:val="240"/>
          <w:divBdr>
            <w:top w:val="none" w:sz="0" w:space="0" w:color="auto"/>
            <w:left w:val="none" w:sz="0" w:space="0" w:color="auto"/>
            <w:bottom w:val="none" w:sz="0" w:space="0" w:color="auto"/>
            <w:right w:val="none" w:sz="0" w:space="0" w:color="auto"/>
          </w:divBdr>
        </w:div>
        <w:div w:id="566035166">
          <w:marLeft w:val="0"/>
          <w:marRight w:val="0"/>
          <w:marTop w:val="0"/>
          <w:marBottom w:val="0"/>
          <w:divBdr>
            <w:top w:val="none" w:sz="0" w:space="0" w:color="auto"/>
            <w:left w:val="none" w:sz="0" w:space="0" w:color="auto"/>
            <w:bottom w:val="none" w:sz="0" w:space="0" w:color="auto"/>
            <w:right w:val="none" w:sz="0" w:space="0" w:color="auto"/>
          </w:divBdr>
        </w:div>
      </w:divsChild>
    </w:div>
    <w:div w:id="231084688">
      <w:bodyDiv w:val="1"/>
      <w:marLeft w:val="0"/>
      <w:marRight w:val="0"/>
      <w:marTop w:val="0"/>
      <w:marBottom w:val="0"/>
      <w:divBdr>
        <w:top w:val="none" w:sz="0" w:space="0" w:color="auto"/>
        <w:left w:val="none" w:sz="0" w:space="0" w:color="auto"/>
        <w:bottom w:val="none" w:sz="0" w:space="0" w:color="auto"/>
        <w:right w:val="none" w:sz="0" w:space="0" w:color="auto"/>
      </w:divBdr>
    </w:div>
    <w:div w:id="1418481129">
      <w:bodyDiv w:val="1"/>
      <w:marLeft w:val="0"/>
      <w:marRight w:val="0"/>
      <w:marTop w:val="0"/>
      <w:marBottom w:val="0"/>
      <w:divBdr>
        <w:top w:val="none" w:sz="0" w:space="0" w:color="auto"/>
        <w:left w:val="none" w:sz="0" w:space="0" w:color="auto"/>
        <w:bottom w:val="none" w:sz="0" w:space="0" w:color="auto"/>
        <w:right w:val="none" w:sz="0" w:space="0" w:color="auto"/>
      </w:divBdr>
    </w:div>
    <w:div w:id="1593968489">
      <w:bodyDiv w:val="1"/>
      <w:marLeft w:val="0"/>
      <w:marRight w:val="0"/>
      <w:marTop w:val="0"/>
      <w:marBottom w:val="0"/>
      <w:divBdr>
        <w:top w:val="none" w:sz="0" w:space="0" w:color="auto"/>
        <w:left w:val="none" w:sz="0" w:space="0" w:color="auto"/>
        <w:bottom w:val="none" w:sz="0" w:space="0" w:color="auto"/>
        <w:right w:val="none" w:sz="0" w:space="0" w:color="auto"/>
      </w:divBdr>
    </w:div>
    <w:div w:id="1595360321">
      <w:bodyDiv w:val="1"/>
      <w:marLeft w:val="0"/>
      <w:marRight w:val="0"/>
      <w:marTop w:val="0"/>
      <w:marBottom w:val="0"/>
      <w:divBdr>
        <w:top w:val="none" w:sz="0" w:space="0" w:color="auto"/>
        <w:left w:val="none" w:sz="0" w:space="0" w:color="auto"/>
        <w:bottom w:val="none" w:sz="0" w:space="0" w:color="auto"/>
        <w:right w:val="none" w:sz="0" w:space="0" w:color="auto"/>
      </w:divBdr>
    </w:div>
    <w:div w:id="175951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nimalsciencepublications.org/publications/jas/abstracts/93/4/1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2</Pages>
  <Words>661</Words>
  <Characters>3772</Characters>
  <Application>Microsoft Office Word</Application>
  <DocSecurity>0</DocSecurity>
  <Lines>31</Lines>
  <Paragraphs>8</Paragraphs>
  <ScaleCrop>false</ScaleCrop>
  <Company>Microsoft</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4</cp:revision>
  <cp:lastPrinted>2015-05-04T09:26:00Z</cp:lastPrinted>
  <dcterms:created xsi:type="dcterms:W3CDTF">2015-05-11T03:39:00Z</dcterms:created>
  <dcterms:modified xsi:type="dcterms:W3CDTF">2015-05-12T00:19:00Z</dcterms:modified>
</cp:coreProperties>
</file>